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797945" w:rsidRPr="00797945" w:rsidRDefault="00797945" w:rsidP="00797945">
            <w:pPr>
              <w:pStyle w:val="Heading1"/>
              <w:jc w:val="center"/>
              <w:rPr>
                <w:rFonts w:ascii="Cascadia Code" w:hAnsi="Cascadia Code" w:cs="Cascadia Code"/>
                <w:sz w:val="36"/>
                <w:szCs w:val="36"/>
              </w:rPr>
            </w:pPr>
            <w:bookmarkStart w:id="0" w:name="_Hlk514276837"/>
            <w:bookmarkStart w:id="1" w:name="_GoBack"/>
            <w:bookmarkEnd w:id="1"/>
            <w:r w:rsidRPr="00797945">
              <w:rPr>
                <w:rFonts w:ascii="Cascadia Code" w:hAnsi="Cascadia Code" w:cs="Cascadia Code"/>
                <w:sz w:val="36"/>
                <w:szCs w:val="36"/>
              </w:rPr>
              <w:t>Special Education            Services</w:t>
            </w:r>
          </w:p>
          <w:p w:rsidR="00797945" w:rsidRPr="00797945" w:rsidRDefault="00797945" w:rsidP="00797945">
            <w:pPr>
              <w:jc w:val="center"/>
            </w:pPr>
            <w:r>
              <w:t>For Your Child…</w:t>
            </w:r>
          </w:p>
          <w:p w:rsidR="00813BA6" w:rsidRPr="00813BA6" w:rsidRDefault="00797945" w:rsidP="00813BA6">
            <w:pPr>
              <w:pStyle w:val="Heading1"/>
              <w:rPr>
                <w:rFonts w:ascii="Century" w:hAnsi="Century"/>
                <w:b w:val="0"/>
                <w:color w:val="000000" w:themeColor="text1"/>
                <w:szCs w:val="28"/>
              </w:rPr>
            </w:pPr>
            <w:r w:rsidRPr="00813BA6">
              <w:rPr>
                <w:rFonts w:ascii="Century" w:hAnsi="Century"/>
                <w:b w:val="0"/>
                <w:color w:val="000000" w:themeColor="text1"/>
                <w:szCs w:val="28"/>
              </w:rPr>
              <w:t>A Free Appropriate Public Education (FAPE) is required for all children with disabilities who are between the ages of 2 and 21 and who have not yet graduated from high school. Students with disabilities may attend school until receipt of a high school diploma or until the end of the school year of their 21</w:t>
            </w:r>
            <w:r w:rsidRPr="00813BA6">
              <w:rPr>
                <w:rFonts w:ascii="Century" w:hAnsi="Century"/>
                <w:b w:val="0"/>
                <w:color w:val="000000" w:themeColor="text1"/>
                <w:szCs w:val="28"/>
                <w:vertAlign w:val="superscript"/>
              </w:rPr>
              <w:t>st</w:t>
            </w:r>
            <w:r w:rsidRPr="00813BA6">
              <w:rPr>
                <w:rFonts w:ascii="Century" w:hAnsi="Century"/>
                <w:b w:val="0"/>
                <w:color w:val="000000" w:themeColor="text1"/>
                <w:szCs w:val="28"/>
              </w:rPr>
              <w:t xml:space="preserve"> birthday, whichever is earlier. </w:t>
            </w:r>
          </w:p>
          <w:p w:rsidR="00813BA6" w:rsidRPr="00813BA6" w:rsidRDefault="00797945" w:rsidP="00813BA6">
            <w:pPr>
              <w:pStyle w:val="Heading1"/>
              <w:rPr>
                <w:rFonts w:ascii="Century" w:hAnsi="Century"/>
                <w:b w:val="0"/>
                <w:sz w:val="20"/>
                <w:szCs w:val="20"/>
              </w:rPr>
            </w:pPr>
            <w:r w:rsidRPr="00813BA6">
              <w:rPr>
                <w:rFonts w:ascii="Century" w:hAnsi="Century" w:cs="Times New Roman"/>
                <w:sz w:val="20"/>
                <w:szCs w:val="20"/>
              </w:rPr>
              <w:t>Special Education and related services must begin on the child’s third (3</w:t>
            </w:r>
            <w:r w:rsidRPr="00813BA6">
              <w:rPr>
                <w:rFonts w:ascii="Century" w:hAnsi="Century" w:cs="Times New Roman"/>
                <w:sz w:val="20"/>
                <w:szCs w:val="20"/>
                <w:vertAlign w:val="superscript"/>
              </w:rPr>
              <w:t>rd</w:t>
            </w:r>
            <w:r w:rsidRPr="00813BA6">
              <w:rPr>
                <w:rFonts w:ascii="Century" w:hAnsi="Century" w:cs="Times New Roman"/>
                <w:sz w:val="20"/>
                <w:szCs w:val="20"/>
              </w:rPr>
              <w:t>) birthday for children served in an early intervention program or for these children referred before their (3</w:t>
            </w:r>
            <w:r w:rsidRPr="00813BA6">
              <w:rPr>
                <w:rFonts w:ascii="Century" w:hAnsi="Century" w:cs="Times New Roman"/>
                <w:sz w:val="20"/>
                <w:szCs w:val="20"/>
                <w:vertAlign w:val="superscript"/>
              </w:rPr>
              <w:t>rd</w:t>
            </w:r>
            <w:r w:rsidRPr="00813BA6">
              <w:rPr>
                <w:rFonts w:ascii="Century" w:hAnsi="Century" w:cs="Times New Roman"/>
                <w:sz w:val="20"/>
                <w:szCs w:val="20"/>
              </w:rPr>
              <w:t xml:space="preserve">) birthday and found eligible. While it is not mandated that the school district provide direct services to children birth through the age of 2, the school district must identify, locate, and evaluate children of this age with known or suspected disabilities. When these children are identified by the local school district, a referral must be made, within in 2 days, to the local Child &amp; Family Connections (CFC) office. </w:t>
            </w:r>
          </w:p>
          <w:bookmarkEnd w:id="0"/>
          <w:p w:rsidR="00CC0A8F" w:rsidRPr="00813BA6" w:rsidRDefault="00CC0A8F" w:rsidP="00813BA6">
            <w:pPr>
              <w:rPr>
                <w:rFonts w:ascii="Times New Roman" w:hAnsi="Times New Roman" w:cs="Times New Roman"/>
              </w:rPr>
            </w:pP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813BA6" w:rsidRDefault="00813BA6" w:rsidP="00F37523">
            <w:pPr>
              <w:pStyle w:val="Heading2"/>
              <w:rPr>
                <w:rStyle w:val="Heading2Char"/>
                <w:b/>
                <w:sz w:val="20"/>
                <w:szCs w:val="20"/>
              </w:rPr>
            </w:pPr>
            <w:r w:rsidRPr="00813BA6">
              <w:rPr>
                <w:rStyle w:val="Heading2Char"/>
                <w:b/>
                <w:sz w:val="20"/>
                <w:szCs w:val="20"/>
              </w:rPr>
              <w:t>If your child is having trouble in school, you should contact the teacher or principal to discuss your concerns. Some school districts have teams consisting of school personnel that review student problems and suggest academic and/or behavioral strategies in an attempt to change or improve student performance. If your child does not demonstrate improvement you should contact your school principal or child’s teacher to initiate a referral for your child.</w:t>
            </w:r>
          </w:p>
          <w:p w:rsidR="00CC0A8F" w:rsidRPr="00990E76" w:rsidRDefault="00CC0A8F" w:rsidP="00813BA6">
            <w:pPr>
              <w:pStyle w:val="NormalTextDarkBackground"/>
            </w:pP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813BA6" w:rsidRDefault="00813BA6" w:rsidP="00813BA6">
            <w:pPr>
              <w:pStyle w:val="Title"/>
            </w:pPr>
          </w:p>
          <w:p w:rsidR="007D43B3" w:rsidRPr="00F37523" w:rsidRDefault="00813BA6" w:rsidP="00813BA6">
            <w:pPr>
              <w:pStyle w:val="Title"/>
            </w:pPr>
            <w:r>
              <w:t>Fairfield Public School District #112</w:t>
            </w:r>
          </w:p>
        </w:tc>
      </w:tr>
    </w:tbl>
    <w:p w:rsidR="00CC0A8F" w:rsidRPr="00CC0A8F" w:rsidRDefault="00CC0A8F" w:rsidP="00C46111">
      <w:r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751E7D" w:rsidRDefault="00813BA6" w:rsidP="00813BA6">
            <w:pPr>
              <w:jc w:val="center"/>
              <w:rPr>
                <w:rFonts w:ascii="Cascadia Code SemiBold" w:hAnsi="Cascadia Code SemiBold" w:cs="Cascadia Code SemiBold"/>
                <w:sz w:val="28"/>
                <w:szCs w:val="28"/>
              </w:rPr>
            </w:pPr>
            <w:r w:rsidRPr="00751E7D">
              <w:rPr>
                <w:rFonts w:ascii="Cascadia Code SemiBold" w:hAnsi="Cascadia Code SemiBold" w:cs="Cascadia Code SemiBold"/>
                <w:sz w:val="28"/>
                <w:szCs w:val="28"/>
              </w:rPr>
              <w:t>Eligibility Categories for Special Education</w:t>
            </w:r>
          </w:p>
          <w:p w:rsidR="00813BA6" w:rsidRDefault="00813BA6" w:rsidP="00813BA6">
            <w:pPr>
              <w:pStyle w:val="ListParagraph"/>
              <w:numPr>
                <w:ilvl w:val="0"/>
                <w:numId w:val="8"/>
              </w:numPr>
            </w:pPr>
            <w:r>
              <w:t>AUTISM</w:t>
            </w:r>
          </w:p>
          <w:p w:rsidR="00813BA6" w:rsidRDefault="00813BA6" w:rsidP="00813BA6">
            <w:pPr>
              <w:pStyle w:val="ListParagraph"/>
              <w:numPr>
                <w:ilvl w:val="0"/>
                <w:numId w:val="8"/>
              </w:numPr>
            </w:pPr>
            <w:r>
              <w:t>DEAF-BLINDNESS</w:t>
            </w:r>
          </w:p>
          <w:p w:rsidR="00813BA6" w:rsidRDefault="00813BA6" w:rsidP="00813BA6">
            <w:pPr>
              <w:pStyle w:val="ListParagraph"/>
              <w:numPr>
                <w:ilvl w:val="0"/>
                <w:numId w:val="8"/>
              </w:numPr>
            </w:pPr>
            <w:r>
              <w:t>DEVELOPMENTAL DELAY</w:t>
            </w:r>
          </w:p>
          <w:p w:rsidR="00813BA6" w:rsidRDefault="00813BA6" w:rsidP="00813BA6">
            <w:pPr>
              <w:pStyle w:val="ListParagraph"/>
              <w:numPr>
                <w:ilvl w:val="0"/>
                <w:numId w:val="8"/>
              </w:numPr>
            </w:pPr>
            <w:r>
              <w:t>EMOTIONAL.DISTURBANCE</w:t>
            </w:r>
          </w:p>
          <w:p w:rsidR="00813BA6" w:rsidRDefault="00813BA6" w:rsidP="00813BA6">
            <w:pPr>
              <w:pStyle w:val="ListParagraph"/>
              <w:numPr>
                <w:ilvl w:val="0"/>
                <w:numId w:val="8"/>
              </w:numPr>
            </w:pPr>
            <w:r>
              <w:t>HE</w:t>
            </w:r>
            <w:r w:rsidR="00751E7D">
              <w:t>A</w:t>
            </w:r>
            <w:r>
              <w:t>RING IMPAIRMENT</w:t>
            </w:r>
          </w:p>
          <w:p w:rsidR="00813BA6" w:rsidRDefault="00813BA6" w:rsidP="00813BA6">
            <w:pPr>
              <w:pStyle w:val="ListParagraph"/>
              <w:numPr>
                <w:ilvl w:val="0"/>
                <w:numId w:val="8"/>
              </w:numPr>
            </w:pPr>
            <w:r>
              <w:t>MENTAL IMPAIRMENT</w:t>
            </w:r>
          </w:p>
          <w:p w:rsidR="00813BA6" w:rsidRDefault="00813BA6" w:rsidP="00813BA6">
            <w:pPr>
              <w:pStyle w:val="ListParagraph"/>
              <w:numPr>
                <w:ilvl w:val="0"/>
                <w:numId w:val="8"/>
              </w:numPr>
            </w:pPr>
            <w:r>
              <w:t>MULTIPLE DISABILITES</w:t>
            </w:r>
          </w:p>
          <w:p w:rsidR="00813BA6" w:rsidRDefault="00813BA6" w:rsidP="00813BA6">
            <w:pPr>
              <w:pStyle w:val="ListParagraph"/>
              <w:numPr>
                <w:ilvl w:val="0"/>
                <w:numId w:val="8"/>
              </w:numPr>
            </w:pPr>
            <w:r>
              <w:t>ORTHOPEDIC IMPAIRMENT</w:t>
            </w:r>
          </w:p>
          <w:p w:rsidR="00813BA6" w:rsidRDefault="00813BA6" w:rsidP="00813BA6">
            <w:pPr>
              <w:pStyle w:val="ListParagraph"/>
              <w:numPr>
                <w:ilvl w:val="0"/>
                <w:numId w:val="8"/>
              </w:numPr>
            </w:pPr>
            <w:r>
              <w:t>OTHER HEALTH IMPAIRMENT</w:t>
            </w:r>
          </w:p>
          <w:p w:rsidR="00813BA6" w:rsidRDefault="00813BA6" w:rsidP="00813BA6">
            <w:pPr>
              <w:pStyle w:val="ListParagraph"/>
              <w:numPr>
                <w:ilvl w:val="0"/>
                <w:numId w:val="8"/>
              </w:numPr>
            </w:pPr>
            <w:r>
              <w:t>SPECIFIC LEARNING DISABILIT</w:t>
            </w:r>
            <w:r w:rsidR="00751E7D">
              <w:t>Y</w:t>
            </w:r>
          </w:p>
          <w:p w:rsidR="00813BA6" w:rsidRDefault="00813BA6" w:rsidP="00813BA6">
            <w:pPr>
              <w:pStyle w:val="ListParagraph"/>
              <w:numPr>
                <w:ilvl w:val="0"/>
                <w:numId w:val="8"/>
              </w:numPr>
            </w:pPr>
            <w:r>
              <w:t>SPEECH AND/OR LANGUAGE IMPAIRMENT</w:t>
            </w:r>
          </w:p>
          <w:p w:rsidR="00813BA6" w:rsidRDefault="00813BA6" w:rsidP="00813BA6">
            <w:pPr>
              <w:pStyle w:val="ListParagraph"/>
              <w:numPr>
                <w:ilvl w:val="0"/>
                <w:numId w:val="8"/>
              </w:numPr>
            </w:pPr>
            <w:r>
              <w:t>TRAUMATIC BRAIN INJURY</w:t>
            </w:r>
          </w:p>
          <w:p w:rsidR="00813BA6" w:rsidRDefault="00813BA6" w:rsidP="00813BA6">
            <w:pPr>
              <w:pStyle w:val="ListParagraph"/>
              <w:numPr>
                <w:ilvl w:val="0"/>
                <w:numId w:val="8"/>
              </w:numPr>
            </w:pPr>
            <w:r>
              <w:t>VISAUL IMPAIRMENT AND BLINDNESS</w:t>
            </w:r>
          </w:p>
          <w:p w:rsidR="00813BA6" w:rsidRPr="00990E76" w:rsidRDefault="00813BA6" w:rsidP="00813BA6">
            <w:pPr>
              <w:jc w:val="center"/>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751E7D" w:rsidP="00751E7D">
            <w:pPr>
              <w:pStyle w:val="Quote"/>
            </w:pPr>
            <w:r>
              <w:t>“EVERY CHILD HAS STRENGTHS”</w:t>
            </w: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B67824" w:rsidRPr="00F37523" w:rsidRDefault="00B67824" w:rsidP="00F37523">
            <w:pPr>
              <w:pStyle w:val="Heading1"/>
              <w:rPr>
                <w:rStyle w:val="Heading1Char"/>
                <w:b/>
              </w:rPr>
            </w:pPr>
          </w:p>
          <w:p w:rsidR="00751E7D" w:rsidRDefault="00751E7D" w:rsidP="00751E7D"/>
          <w:p w:rsidR="00751E7D" w:rsidRDefault="00751E7D" w:rsidP="00751E7D"/>
          <w:p w:rsidR="00751E7D" w:rsidRPr="00990E76" w:rsidRDefault="00751E7D" w:rsidP="00751E7D">
            <w:r>
              <w:rPr>
                <w:noProof/>
              </w:rPr>
              <w:drawing>
                <wp:inline distT="0" distB="0" distL="0" distR="0" wp14:anchorId="65304F76" wp14:editId="020C1F58">
                  <wp:extent cx="2859256" cy="1940560"/>
                  <wp:effectExtent l="0" t="0" r="0" b="2540"/>
                  <wp:docPr id="1" name="Picture 1" descr="Special Education Department - Canon-McMillan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 Education Department - Canon-McMillan School Distr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028" cy="2051711"/>
                          </a:xfrm>
                          <a:prstGeom prst="rect">
                            <a:avLst/>
                          </a:prstGeom>
                          <a:noFill/>
                          <a:ln>
                            <a:noFill/>
                          </a:ln>
                        </pic:spPr>
                      </pic:pic>
                    </a:graphicData>
                  </a:graphic>
                </wp:inline>
              </w:drawing>
            </w: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F37523" w:rsidRDefault="00B67824" w:rsidP="00F37523">
            <w:pPr>
              <w:pStyle w:val="Heading1"/>
              <w:rPr>
                <w:rStyle w:val="Heading1Char"/>
                <w:b/>
              </w:rPr>
            </w:pPr>
          </w:p>
          <w:p w:rsidR="00B67824" w:rsidRPr="00990E76" w:rsidRDefault="00B67824" w:rsidP="00990E76"/>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A4349D">
      <w:headerReference w:type="default" r:id="rId12"/>
      <w:headerReference w:type="first" r:id="rId13"/>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9F8" w:rsidRDefault="00BB39F8" w:rsidP="00D210FA">
      <w:pPr>
        <w:spacing w:after="0"/>
      </w:pPr>
      <w:r>
        <w:separator/>
      </w:r>
    </w:p>
  </w:endnote>
  <w:endnote w:type="continuationSeparator" w:id="0">
    <w:p w:rsidR="00BB39F8" w:rsidRDefault="00BB39F8"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scadia Code">
    <w:altName w:val="Courier New"/>
    <w:charset w:val="00"/>
    <w:family w:val="modern"/>
    <w:pitch w:val="fixed"/>
    <w:sig w:usb0="00000000" w:usb1="C000F9FB" w:usb2="00040020"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scadia Code SemiBold">
    <w:altName w:val="Courier New"/>
    <w:charset w:val="00"/>
    <w:family w:val="modern"/>
    <w:pitch w:val="fixed"/>
    <w:sig w:usb0="00000000" w:usb1="C000F9FB" w:usb2="0004002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9F8" w:rsidRDefault="00BB39F8" w:rsidP="00D210FA">
      <w:pPr>
        <w:spacing w:after="0"/>
      </w:pPr>
      <w:r>
        <w:separator/>
      </w:r>
    </w:p>
  </w:footnote>
  <w:footnote w:type="continuationSeparator" w:id="0">
    <w:p w:rsidR="00BB39F8" w:rsidRDefault="00BB39F8"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1E7"/>
      </v:shape>
    </w:pict>
  </w:numPicBullet>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DD1485"/>
    <w:multiLevelType w:val="hybridMultilevel"/>
    <w:tmpl w:val="06A683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45"/>
    <w:rsid w:val="00002366"/>
    <w:rsid w:val="00023293"/>
    <w:rsid w:val="00050C7D"/>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51E7D"/>
    <w:rsid w:val="00764B6F"/>
    <w:rsid w:val="00797945"/>
    <w:rsid w:val="007C7319"/>
    <w:rsid w:val="007D43B3"/>
    <w:rsid w:val="007F20B4"/>
    <w:rsid w:val="007F525E"/>
    <w:rsid w:val="00807F20"/>
    <w:rsid w:val="00813BA6"/>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4349D"/>
    <w:rsid w:val="00A70A62"/>
    <w:rsid w:val="00A71DA8"/>
    <w:rsid w:val="00AB1210"/>
    <w:rsid w:val="00AB770D"/>
    <w:rsid w:val="00AF2088"/>
    <w:rsid w:val="00AF5FB0"/>
    <w:rsid w:val="00B0080A"/>
    <w:rsid w:val="00B0538C"/>
    <w:rsid w:val="00B37AB8"/>
    <w:rsid w:val="00B418DE"/>
    <w:rsid w:val="00B47FE7"/>
    <w:rsid w:val="00B67824"/>
    <w:rsid w:val="00BB39F8"/>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paragraph" w:styleId="BalloonText">
    <w:name w:val="Balloon Text"/>
    <w:basedOn w:val="Normal"/>
    <w:link w:val="BalloonTextChar"/>
    <w:uiPriority w:val="99"/>
    <w:semiHidden/>
    <w:unhideWhenUsed/>
    <w:rsid w:val="00A434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2.jpeg"/><Relationship Id="rId5" Type="http://schemas.openxmlformats.org/officeDocument/2006/relationships/image" Target="media/image11.jpeg"/><Relationship Id="rId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112\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726F7C7-CD6D-4174-AF22-E7C9D123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2023-05-30T15:13:00Z</dcterms:created>
  <dcterms:modified xsi:type="dcterms:W3CDTF">2023-05-30T15:13:00Z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